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979" w:rsidRDefault="000F2979" w:rsidP="000F2979">
      <w:pPr>
        <w:bidi/>
        <w:jc w:val="center"/>
        <w:rPr>
          <w:color w:val="002060"/>
          <w:lang w:bidi="fa-IR"/>
        </w:rPr>
      </w:pPr>
      <w:r>
        <w:rPr>
          <w:rFonts w:hint="cs"/>
          <w:color w:val="002060"/>
          <w:rtl/>
          <w:lang w:bidi="fa-IR"/>
        </w:rPr>
        <w:t>خارج اصول</w:t>
      </w:r>
    </w:p>
    <w:p w:rsidR="000F2979" w:rsidRDefault="000F2979" w:rsidP="0083752D">
      <w:pPr>
        <w:bidi/>
        <w:jc w:val="center"/>
        <w:rPr>
          <w:color w:val="002060"/>
          <w:lang w:bidi="fa-IR"/>
        </w:rPr>
      </w:pPr>
      <w:r>
        <w:rPr>
          <w:rFonts w:hint="cs"/>
          <w:color w:val="002060"/>
          <w:rtl/>
          <w:lang w:bidi="fa-IR"/>
        </w:rPr>
        <w:t xml:space="preserve">جلسه </w:t>
      </w:r>
      <w:r w:rsidR="0083752D">
        <w:rPr>
          <w:rFonts w:hint="cs"/>
          <w:color w:val="002060"/>
          <w:rtl/>
          <w:lang w:bidi="fa-IR"/>
        </w:rPr>
        <w:t>92</w:t>
      </w:r>
      <w:r>
        <w:rPr>
          <w:rFonts w:hint="cs"/>
          <w:color w:val="002060"/>
          <w:rtl/>
          <w:lang w:bidi="fa-IR"/>
        </w:rPr>
        <w:t xml:space="preserve"> * </w:t>
      </w:r>
      <w:r w:rsidR="0083752D">
        <w:rPr>
          <w:rFonts w:hint="cs"/>
          <w:color w:val="002060"/>
          <w:rtl/>
          <w:lang w:bidi="fa-IR"/>
        </w:rPr>
        <w:t>یک</w:t>
      </w:r>
      <w:r>
        <w:rPr>
          <w:rFonts w:hint="cs"/>
          <w:color w:val="002060"/>
          <w:rtl/>
          <w:lang w:bidi="fa-IR"/>
        </w:rPr>
        <w:t xml:space="preserve">شنبه </w:t>
      </w:r>
      <w:r w:rsidR="0083752D">
        <w:rPr>
          <w:rFonts w:hint="cs"/>
          <w:color w:val="002060"/>
          <w:rtl/>
          <w:lang w:bidi="fa-IR"/>
        </w:rPr>
        <w:t>11</w:t>
      </w:r>
      <w:r>
        <w:rPr>
          <w:rFonts w:hint="cs"/>
          <w:color w:val="002060"/>
          <w:rtl/>
          <w:lang w:bidi="fa-IR"/>
        </w:rPr>
        <w:t>/ 12/ 98</w:t>
      </w:r>
    </w:p>
    <w:p w:rsidR="000F2979" w:rsidRDefault="000F2979" w:rsidP="000F2979">
      <w:pPr>
        <w:pBdr>
          <w:bottom w:val="single" w:sz="12" w:space="1" w:color="auto"/>
        </w:pBdr>
        <w:bidi/>
        <w:jc w:val="center"/>
        <w:rPr>
          <w:color w:val="FF0000"/>
          <w:rtl/>
          <w:lang w:bidi="fa-IR"/>
        </w:rPr>
      </w:pPr>
      <w:r>
        <w:rPr>
          <w:rFonts w:hint="cs"/>
          <w:color w:val="FF0000"/>
          <w:rtl/>
          <w:lang w:bidi="fa-IR"/>
        </w:rPr>
        <w:t>موضوع: مسأله ی ضد</w:t>
      </w:r>
    </w:p>
    <w:p w:rsidR="000F2979" w:rsidRDefault="000F2979" w:rsidP="000F2979">
      <w:pPr>
        <w:bidi/>
        <w:rPr>
          <w:rtl/>
          <w:lang w:bidi="fa-IR"/>
        </w:rPr>
      </w:pP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r>
      <w:r>
        <w:rPr>
          <w:rFonts w:hint="cs"/>
          <w:rtl/>
          <w:lang w:bidi="fa-IR"/>
        </w:rPr>
        <w:softHyphen/>
        <w:t>بسم الله الرحمن الرحیم الحمد لله ربّ العالمین و صلّی الله علی سیّدنا محمّد و آله الطیبین الطاهرین.</w:t>
      </w:r>
    </w:p>
    <w:p w:rsidR="000F2979" w:rsidRDefault="000F2979" w:rsidP="000F2979">
      <w:pPr>
        <w:bidi/>
        <w:rPr>
          <w:rtl/>
          <w:lang w:bidi="fa-IR"/>
        </w:rPr>
      </w:pPr>
      <w:r>
        <w:rPr>
          <w:rFonts w:hint="cs"/>
          <w:rtl/>
          <w:lang w:bidi="fa-IR"/>
        </w:rPr>
        <w:t>لا حول و لا قوة الّا بالله العلی العظیم.</w:t>
      </w:r>
    </w:p>
    <w:p w:rsidR="000F2979" w:rsidRDefault="000F2979" w:rsidP="000F2979">
      <w:pPr>
        <w:bidi/>
        <w:jc w:val="center"/>
        <w:rPr>
          <w:color w:val="002060"/>
          <w:rtl/>
          <w:lang w:bidi="fa-IR"/>
        </w:rPr>
      </w:pPr>
      <w:r>
        <w:rPr>
          <w:color w:val="002060"/>
          <w:rtl/>
          <w:lang w:bidi="fa-IR"/>
        </w:rPr>
        <w:t>*******</w:t>
      </w:r>
    </w:p>
    <w:p w:rsidR="006E4301" w:rsidRDefault="0083752D" w:rsidP="000F2979">
      <w:pPr>
        <w:bidi/>
        <w:rPr>
          <w:rtl/>
        </w:rPr>
      </w:pPr>
      <w:r>
        <w:rPr>
          <w:rFonts w:hint="cs"/>
          <w:rtl/>
        </w:rPr>
        <w:t>کلام در اقتضاء بود. گفتیم امر</w:t>
      </w:r>
      <w:r w:rsidR="0014528B">
        <w:rPr>
          <w:rFonts w:hint="cs"/>
          <w:rtl/>
        </w:rPr>
        <w:t xml:space="preserve"> به شیئ،</w:t>
      </w:r>
      <w:r>
        <w:rPr>
          <w:rFonts w:hint="cs"/>
          <w:rtl/>
        </w:rPr>
        <w:t xml:space="preserve"> مقتضی نهی از ضد</w:t>
      </w:r>
      <w:r w:rsidR="0014528B">
        <w:rPr>
          <w:rFonts w:hint="cs"/>
          <w:rtl/>
        </w:rPr>
        <w:t>ّ</w:t>
      </w:r>
      <w:r>
        <w:rPr>
          <w:rFonts w:hint="cs"/>
          <w:rtl/>
        </w:rPr>
        <w:t xml:space="preserve"> نیست مطلقا نه ضد</w:t>
      </w:r>
      <w:r w:rsidR="0014528B">
        <w:rPr>
          <w:rFonts w:hint="cs"/>
          <w:rtl/>
        </w:rPr>
        <w:t>ّ</w:t>
      </w:r>
      <w:r>
        <w:rPr>
          <w:rFonts w:hint="cs"/>
          <w:rtl/>
        </w:rPr>
        <w:t xml:space="preserve"> عام و نه ضد</w:t>
      </w:r>
      <w:r w:rsidR="0014528B">
        <w:rPr>
          <w:rFonts w:hint="cs"/>
          <w:rtl/>
        </w:rPr>
        <w:t>ّ</w:t>
      </w:r>
      <w:r>
        <w:rPr>
          <w:rFonts w:hint="cs"/>
          <w:rtl/>
        </w:rPr>
        <w:t xml:space="preserve"> خاص</w:t>
      </w:r>
      <w:r w:rsidR="0014528B">
        <w:rPr>
          <w:rFonts w:hint="cs"/>
          <w:rtl/>
        </w:rPr>
        <w:t>؛</w:t>
      </w:r>
      <w:r>
        <w:rPr>
          <w:rFonts w:hint="cs"/>
          <w:rtl/>
        </w:rPr>
        <w:t xml:space="preserve"> و پنج وجهی که برای اقتضاء مطرح شده است را بررسی و رد</w:t>
      </w:r>
      <w:r w:rsidR="0014528B">
        <w:rPr>
          <w:rFonts w:hint="cs"/>
          <w:rtl/>
        </w:rPr>
        <w:t>ّ</w:t>
      </w:r>
      <w:r>
        <w:rPr>
          <w:rFonts w:hint="cs"/>
          <w:rtl/>
        </w:rPr>
        <w:t xml:space="preserve"> کردیم.</w:t>
      </w:r>
    </w:p>
    <w:p w:rsidR="000E0A4A" w:rsidRPr="003C0D29" w:rsidRDefault="000E0A4A" w:rsidP="000E0A4A">
      <w:pPr>
        <w:bidi/>
        <w:rPr>
          <w:color w:val="0070C0"/>
          <w:rtl/>
        </w:rPr>
      </w:pPr>
      <w:r w:rsidRPr="003C0D29">
        <w:rPr>
          <w:rFonts w:hint="cs"/>
          <w:color w:val="0070C0"/>
          <w:rtl/>
        </w:rPr>
        <w:t>اما ثمره ی این بحث</w:t>
      </w:r>
    </w:p>
    <w:p w:rsidR="003C0D29" w:rsidRDefault="003C0D29" w:rsidP="0014528B">
      <w:pPr>
        <w:bidi/>
        <w:rPr>
          <w:rtl/>
        </w:rPr>
      </w:pPr>
      <w:r>
        <w:rPr>
          <w:rFonts w:hint="cs"/>
          <w:rtl/>
        </w:rPr>
        <w:t>در گذشته گفتیم بحث اقتضاء و عدم اقتضاء فی نفسه ثمره ی عملی ندارد و بخاطر مباحث مهمی که در ضمن این بحث آمده است به آن پرداخته می شود</w:t>
      </w:r>
      <w:r w:rsidR="0014528B">
        <w:rPr>
          <w:rFonts w:hint="cs"/>
          <w:rtl/>
        </w:rPr>
        <w:t>؛</w:t>
      </w:r>
      <w:r>
        <w:rPr>
          <w:rFonts w:hint="cs"/>
          <w:rtl/>
        </w:rPr>
        <w:t xml:space="preserve"> لکن برخی برای این بحث ثمراتی را ذکر کرده و </w:t>
      </w:r>
      <w:r w:rsidR="0014528B">
        <w:rPr>
          <w:rFonts w:hint="cs"/>
          <w:rtl/>
        </w:rPr>
        <w:t>گفته اند:</w:t>
      </w:r>
      <w:r w:rsidR="00C12DB9">
        <w:rPr>
          <w:rFonts w:hint="cs"/>
          <w:rtl/>
        </w:rPr>
        <w:t xml:space="preserve"> در صورت اقتضاء، در باب ضد</w:t>
      </w:r>
      <w:r w:rsidR="0014528B">
        <w:rPr>
          <w:rFonts w:hint="cs"/>
          <w:rtl/>
        </w:rPr>
        <w:t>ّ</w:t>
      </w:r>
      <w:r w:rsidR="00C12DB9">
        <w:rPr>
          <w:rFonts w:hint="cs"/>
          <w:rtl/>
        </w:rPr>
        <w:t xml:space="preserve"> خاص دارای ثمره است به اینصورت که ضد</w:t>
      </w:r>
      <w:r w:rsidR="0014528B">
        <w:rPr>
          <w:rFonts w:hint="cs"/>
          <w:rtl/>
        </w:rPr>
        <w:t>ّ</w:t>
      </w:r>
      <w:r w:rsidR="00C12DB9">
        <w:rPr>
          <w:rFonts w:hint="cs"/>
          <w:rtl/>
        </w:rPr>
        <w:t xml:space="preserve"> منهی عنه اگر عبادت باشد</w:t>
      </w:r>
      <w:r w:rsidR="0014528B">
        <w:rPr>
          <w:rFonts w:hint="cs"/>
          <w:rtl/>
        </w:rPr>
        <w:t>،</w:t>
      </w:r>
      <w:r w:rsidR="00C12DB9">
        <w:rPr>
          <w:rFonts w:hint="cs"/>
          <w:rtl/>
        </w:rPr>
        <w:t xml:space="preserve"> بخاطر نهی</w:t>
      </w:r>
      <w:r w:rsidR="0014528B">
        <w:rPr>
          <w:rFonts w:hint="cs"/>
          <w:rtl/>
        </w:rPr>
        <w:t>،</w:t>
      </w:r>
      <w:r w:rsidR="00C12DB9">
        <w:rPr>
          <w:rFonts w:hint="cs"/>
          <w:rtl/>
        </w:rPr>
        <w:t xml:space="preserve"> فاسد </w:t>
      </w:r>
      <w:r w:rsidR="00EF2A1E">
        <w:rPr>
          <w:rFonts w:hint="cs"/>
          <w:rtl/>
        </w:rPr>
        <w:t>می شود</w:t>
      </w:r>
      <w:r w:rsidR="00C12DB9">
        <w:rPr>
          <w:rFonts w:hint="cs"/>
          <w:rtl/>
        </w:rPr>
        <w:t>.</w:t>
      </w:r>
    </w:p>
    <w:p w:rsidR="00EF2A1E" w:rsidRDefault="00EF2A1E" w:rsidP="00EF2A1E">
      <w:pPr>
        <w:bidi/>
        <w:rPr>
          <w:rtl/>
        </w:rPr>
      </w:pPr>
      <w:r>
        <w:rPr>
          <w:rFonts w:hint="cs"/>
          <w:rtl/>
        </w:rPr>
        <w:t>این بحث را در دو</w:t>
      </w:r>
      <w:r w:rsidR="00623DC1">
        <w:rPr>
          <w:rFonts w:hint="cs"/>
          <w:rtl/>
        </w:rPr>
        <w:t xml:space="preserve"> </w:t>
      </w:r>
      <w:r>
        <w:rPr>
          <w:rFonts w:hint="cs"/>
          <w:rtl/>
        </w:rPr>
        <w:t>مقام</w:t>
      </w:r>
      <w:r w:rsidR="00623DC1">
        <w:rPr>
          <w:rFonts w:hint="cs"/>
          <w:rtl/>
        </w:rPr>
        <w:t xml:space="preserve"> بررسی می کنیم:</w:t>
      </w:r>
    </w:p>
    <w:p w:rsidR="00623DC1" w:rsidRPr="0014528B" w:rsidRDefault="00623DC1" w:rsidP="00623DC1">
      <w:pPr>
        <w:bidi/>
        <w:rPr>
          <w:color w:val="0070C0"/>
          <w:rtl/>
        </w:rPr>
      </w:pPr>
      <w:r w:rsidRPr="0014528B">
        <w:rPr>
          <w:rFonts w:hint="cs"/>
          <w:color w:val="0070C0"/>
          <w:rtl/>
        </w:rPr>
        <w:t>مقام او</w:t>
      </w:r>
      <w:r w:rsidR="0014528B">
        <w:rPr>
          <w:rFonts w:hint="cs"/>
          <w:color w:val="0070C0"/>
          <w:rtl/>
        </w:rPr>
        <w:t>ّ</w:t>
      </w:r>
      <w:r w:rsidRPr="0014528B">
        <w:rPr>
          <w:rFonts w:hint="cs"/>
          <w:color w:val="0070C0"/>
          <w:rtl/>
        </w:rPr>
        <w:t>ل</w:t>
      </w:r>
    </w:p>
    <w:p w:rsidR="00623DC1" w:rsidRDefault="00623DC1" w:rsidP="00623DC1">
      <w:pPr>
        <w:bidi/>
        <w:rPr>
          <w:rtl/>
        </w:rPr>
      </w:pPr>
      <w:r>
        <w:rPr>
          <w:rFonts w:hint="cs"/>
          <w:rtl/>
        </w:rPr>
        <w:t>هرگاه بین انجام واجب موس</w:t>
      </w:r>
      <w:r w:rsidR="0014528B">
        <w:rPr>
          <w:rFonts w:hint="cs"/>
          <w:rtl/>
        </w:rPr>
        <w:t>ّ</w:t>
      </w:r>
      <w:r>
        <w:rPr>
          <w:rFonts w:hint="cs"/>
          <w:rtl/>
        </w:rPr>
        <w:t>ع (مثل نماز) با واجب مضی</w:t>
      </w:r>
      <w:r w:rsidR="0014528B">
        <w:rPr>
          <w:rFonts w:hint="cs"/>
          <w:rtl/>
        </w:rPr>
        <w:t>ّ</w:t>
      </w:r>
      <w:r>
        <w:rPr>
          <w:rFonts w:hint="cs"/>
          <w:rtl/>
        </w:rPr>
        <w:t>ق (مثل ازاله) مزاحمت ایجاد شود، در مقام تزاحم، مسأله ی اقتضاء چه ثمره ای دارد؟</w:t>
      </w:r>
    </w:p>
    <w:p w:rsidR="00623DC1" w:rsidRPr="0014528B" w:rsidRDefault="00623DC1" w:rsidP="00623DC1">
      <w:pPr>
        <w:bidi/>
        <w:rPr>
          <w:color w:val="0070C0"/>
          <w:rtl/>
        </w:rPr>
      </w:pPr>
      <w:r w:rsidRPr="0014528B">
        <w:rPr>
          <w:rFonts w:hint="cs"/>
          <w:color w:val="0070C0"/>
          <w:rtl/>
        </w:rPr>
        <w:t>مقام دو</w:t>
      </w:r>
      <w:r w:rsidR="0014528B">
        <w:rPr>
          <w:rFonts w:hint="cs"/>
          <w:color w:val="0070C0"/>
          <w:rtl/>
        </w:rPr>
        <w:t>ّ</w:t>
      </w:r>
      <w:r w:rsidRPr="0014528B">
        <w:rPr>
          <w:rFonts w:hint="cs"/>
          <w:color w:val="0070C0"/>
          <w:rtl/>
        </w:rPr>
        <w:t>م</w:t>
      </w:r>
    </w:p>
    <w:p w:rsidR="00623DC1" w:rsidRDefault="00623DC1" w:rsidP="00623DC1">
      <w:pPr>
        <w:bidi/>
        <w:rPr>
          <w:rtl/>
        </w:rPr>
      </w:pPr>
      <w:r>
        <w:rPr>
          <w:rFonts w:hint="cs"/>
          <w:rtl/>
        </w:rPr>
        <w:t>در مقام تزاحم بین دو واجب مضی</w:t>
      </w:r>
      <w:r w:rsidR="0014528B">
        <w:rPr>
          <w:rFonts w:hint="cs"/>
          <w:rtl/>
        </w:rPr>
        <w:t>ّ</w:t>
      </w:r>
      <w:r>
        <w:rPr>
          <w:rFonts w:hint="cs"/>
          <w:rtl/>
        </w:rPr>
        <w:t>ق که یکی مهم</w:t>
      </w:r>
      <w:r w:rsidR="0014528B">
        <w:rPr>
          <w:rFonts w:hint="cs"/>
          <w:rtl/>
        </w:rPr>
        <w:t>ّ</w:t>
      </w:r>
      <w:r>
        <w:rPr>
          <w:rFonts w:hint="cs"/>
          <w:rtl/>
        </w:rPr>
        <w:t xml:space="preserve"> و یکی اهم</w:t>
      </w:r>
      <w:r w:rsidR="0014528B">
        <w:rPr>
          <w:rFonts w:hint="cs"/>
          <w:rtl/>
        </w:rPr>
        <w:t>ّ</w:t>
      </w:r>
      <w:r>
        <w:rPr>
          <w:rFonts w:hint="cs"/>
          <w:rtl/>
        </w:rPr>
        <w:t xml:space="preserve"> است، اقتضاء چه ثمره ای دارد؟</w:t>
      </w:r>
    </w:p>
    <w:p w:rsidR="00623DC1" w:rsidRDefault="00623DC1" w:rsidP="00623DC1">
      <w:pPr>
        <w:bidi/>
        <w:rPr>
          <w:rtl/>
        </w:rPr>
      </w:pPr>
      <w:r>
        <w:rPr>
          <w:rFonts w:hint="cs"/>
          <w:rtl/>
        </w:rPr>
        <w:t>در صورت قول به اقتضاء، ضد</w:t>
      </w:r>
      <w:r w:rsidR="0014528B">
        <w:rPr>
          <w:rFonts w:hint="cs"/>
          <w:rtl/>
        </w:rPr>
        <w:t>ّ،</w:t>
      </w:r>
      <w:r>
        <w:rPr>
          <w:rFonts w:hint="cs"/>
          <w:rtl/>
        </w:rPr>
        <w:t xml:space="preserve"> مورد نهی واقع می شود لذا به ضمیمه ی کبرای اصولی یعنی «نهی</w:t>
      </w:r>
      <w:r w:rsidR="0014528B">
        <w:rPr>
          <w:rFonts w:hint="cs"/>
          <w:rtl/>
        </w:rPr>
        <w:t>،</w:t>
      </w:r>
      <w:r>
        <w:rPr>
          <w:rFonts w:hint="cs"/>
          <w:rtl/>
        </w:rPr>
        <w:t xml:space="preserve"> مفسد عبادت است» به این نتیجه می رسیم که ضد</w:t>
      </w:r>
      <w:r w:rsidR="0014528B">
        <w:rPr>
          <w:rFonts w:hint="cs"/>
          <w:rtl/>
        </w:rPr>
        <w:t>ّ</w:t>
      </w:r>
      <w:r>
        <w:rPr>
          <w:rFonts w:hint="cs"/>
          <w:rtl/>
        </w:rPr>
        <w:t xml:space="preserve"> خاص بخاطر نهیی که لازمه ی امر به شیئ است، فاسد می شود.</w:t>
      </w:r>
    </w:p>
    <w:p w:rsidR="00147559" w:rsidRDefault="00147559" w:rsidP="00147559">
      <w:pPr>
        <w:bidi/>
        <w:rPr>
          <w:rtl/>
        </w:rPr>
      </w:pPr>
      <w:r>
        <w:rPr>
          <w:rFonts w:hint="cs"/>
          <w:rtl/>
        </w:rPr>
        <w:t>بنابراین ثمره ی بحث اقتضاء در دو مقام قابل تصو</w:t>
      </w:r>
      <w:r w:rsidR="0014528B">
        <w:rPr>
          <w:rFonts w:hint="cs"/>
          <w:rtl/>
        </w:rPr>
        <w:t>ّ</w:t>
      </w:r>
      <w:r>
        <w:rPr>
          <w:rFonts w:hint="cs"/>
          <w:rtl/>
        </w:rPr>
        <w:t>ر است:</w:t>
      </w:r>
    </w:p>
    <w:p w:rsidR="00147559" w:rsidRDefault="00147559" w:rsidP="00147559">
      <w:pPr>
        <w:bidi/>
        <w:rPr>
          <w:rtl/>
        </w:rPr>
      </w:pPr>
      <w:r>
        <w:rPr>
          <w:rFonts w:hint="cs"/>
          <w:rtl/>
        </w:rPr>
        <w:lastRenderedPageBreak/>
        <w:t>1.تزاحم بین یک واجب موس</w:t>
      </w:r>
      <w:r w:rsidR="0014528B">
        <w:rPr>
          <w:rFonts w:hint="cs"/>
          <w:rtl/>
        </w:rPr>
        <w:t>ّ</w:t>
      </w:r>
      <w:r>
        <w:rPr>
          <w:rFonts w:hint="cs"/>
          <w:rtl/>
        </w:rPr>
        <w:t>ع و یک واجب مضی</w:t>
      </w:r>
      <w:r w:rsidR="0014528B">
        <w:rPr>
          <w:rFonts w:hint="cs"/>
          <w:rtl/>
        </w:rPr>
        <w:t>ّ</w:t>
      </w:r>
      <w:r>
        <w:rPr>
          <w:rFonts w:hint="cs"/>
          <w:rtl/>
        </w:rPr>
        <w:t>ق.</w:t>
      </w:r>
    </w:p>
    <w:p w:rsidR="00147559" w:rsidRDefault="00147559" w:rsidP="0033116D">
      <w:pPr>
        <w:bidi/>
        <w:rPr>
          <w:rtl/>
        </w:rPr>
      </w:pPr>
      <w:r>
        <w:rPr>
          <w:rFonts w:hint="cs"/>
          <w:rtl/>
        </w:rPr>
        <w:t>2.تزاحم بین دو واجب مضی</w:t>
      </w:r>
      <w:r w:rsidR="0014528B">
        <w:rPr>
          <w:rFonts w:hint="cs"/>
          <w:rtl/>
        </w:rPr>
        <w:t>ّ</w:t>
      </w:r>
      <w:r>
        <w:rPr>
          <w:rFonts w:hint="cs"/>
          <w:rtl/>
        </w:rPr>
        <w:t xml:space="preserve">ق یکی </w:t>
      </w:r>
      <w:r w:rsidR="0033116D">
        <w:rPr>
          <w:rFonts w:hint="cs"/>
          <w:rtl/>
        </w:rPr>
        <w:t>مهم</w:t>
      </w:r>
      <w:r w:rsidR="0014528B">
        <w:rPr>
          <w:rFonts w:hint="cs"/>
          <w:rtl/>
        </w:rPr>
        <w:t>ّ</w:t>
      </w:r>
      <w:r w:rsidR="0033116D">
        <w:rPr>
          <w:rFonts w:hint="cs"/>
          <w:rtl/>
        </w:rPr>
        <w:t xml:space="preserve"> </w:t>
      </w:r>
      <w:r>
        <w:rPr>
          <w:rFonts w:hint="cs"/>
          <w:rtl/>
        </w:rPr>
        <w:t>و یک</w:t>
      </w:r>
      <w:r w:rsidR="0033116D">
        <w:rPr>
          <w:rFonts w:hint="cs"/>
          <w:rtl/>
        </w:rPr>
        <w:t>ی</w:t>
      </w:r>
      <w:r w:rsidR="0033116D" w:rsidRPr="0033116D">
        <w:rPr>
          <w:rFonts w:hint="cs"/>
          <w:rtl/>
        </w:rPr>
        <w:t xml:space="preserve"> </w:t>
      </w:r>
      <w:r w:rsidR="0033116D">
        <w:rPr>
          <w:rFonts w:hint="cs"/>
          <w:rtl/>
        </w:rPr>
        <w:t>اهم</w:t>
      </w:r>
      <w:r w:rsidR="0014528B">
        <w:rPr>
          <w:rFonts w:hint="cs"/>
          <w:rtl/>
        </w:rPr>
        <w:t>ّ</w:t>
      </w:r>
      <w:r w:rsidR="0033116D">
        <w:rPr>
          <w:rFonts w:hint="cs"/>
          <w:rtl/>
        </w:rPr>
        <w:t>.</w:t>
      </w:r>
    </w:p>
    <w:p w:rsidR="00147559" w:rsidRDefault="0033116D" w:rsidP="00381FF2">
      <w:pPr>
        <w:bidi/>
        <w:rPr>
          <w:rtl/>
        </w:rPr>
      </w:pPr>
      <w:r>
        <w:rPr>
          <w:rFonts w:hint="cs"/>
          <w:rtl/>
        </w:rPr>
        <w:t>اگر قائل به اقتضاء شویم، در مقام او</w:t>
      </w:r>
      <w:r w:rsidR="0014528B">
        <w:rPr>
          <w:rFonts w:hint="cs"/>
          <w:rtl/>
        </w:rPr>
        <w:t>ّ</w:t>
      </w:r>
      <w:r>
        <w:rPr>
          <w:rFonts w:hint="cs"/>
          <w:rtl/>
        </w:rPr>
        <w:t>ل، امر به واجب مضی</w:t>
      </w:r>
      <w:r w:rsidR="0014528B">
        <w:rPr>
          <w:rFonts w:hint="cs"/>
          <w:rtl/>
        </w:rPr>
        <w:t>ّ</w:t>
      </w:r>
      <w:r>
        <w:rPr>
          <w:rFonts w:hint="cs"/>
          <w:rtl/>
        </w:rPr>
        <w:t>ق، مستلزم نهی از واجب موس</w:t>
      </w:r>
      <w:r w:rsidR="0014528B">
        <w:rPr>
          <w:rFonts w:hint="cs"/>
          <w:rtl/>
        </w:rPr>
        <w:t>ّ</w:t>
      </w:r>
      <w:r>
        <w:rPr>
          <w:rFonts w:hint="cs"/>
          <w:rtl/>
        </w:rPr>
        <w:t>ع</w:t>
      </w:r>
      <w:r w:rsidR="00381FF2">
        <w:rPr>
          <w:rFonts w:hint="cs"/>
          <w:rtl/>
        </w:rPr>
        <w:t xml:space="preserve"> و فساد آن</w:t>
      </w:r>
      <w:r w:rsidR="000C36B1">
        <w:rPr>
          <w:rFonts w:hint="cs"/>
          <w:rtl/>
        </w:rPr>
        <w:t xml:space="preserve"> می شود ؛ و در مق</w:t>
      </w:r>
      <w:r w:rsidR="00381FF2">
        <w:rPr>
          <w:rFonts w:hint="cs"/>
          <w:rtl/>
        </w:rPr>
        <w:t>ا</w:t>
      </w:r>
      <w:r w:rsidR="000C36B1">
        <w:rPr>
          <w:rFonts w:hint="cs"/>
          <w:rtl/>
        </w:rPr>
        <w:t>م دو</w:t>
      </w:r>
      <w:r w:rsidR="0014528B">
        <w:rPr>
          <w:rFonts w:hint="cs"/>
          <w:rtl/>
        </w:rPr>
        <w:t>ّ</w:t>
      </w:r>
      <w:r w:rsidR="000C36B1">
        <w:rPr>
          <w:rFonts w:hint="cs"/>
          <w:rtl/>
        </w:rPr>
        <w:t>م، امر به واجب اهم</w:t>
      </w:r>
      <w:r w:rsidR="0014528B">
        <w:rPr>
          <w:rFonts w:hint="cs"/>
          <w:rtl/>
        </w:rPr>
        <w:t>ّ</w:t>
      </w:r>
      <w:r w:rsidR="000C36B1">
        <w:rPr>
          <w:rFonts w:hint="cs"/>
          <w:rtl/>
        </w:rPr>
        <w:t>، مستلزم نهی و فساد واجب مهم</w:t>
      </w:r>
      <w:r w:rsidR="0014528B">
        <w:rPr>
          <w:rFonts w:hint="cs"/>
          <w:rtl/>
        </w:rPr>
        <w:t>ّ</w:t>
      </w:r>
      <w:r w:rsidR="000C36B1">
        <w:rPr>
          <w:rFonts w:hint="cs"/>
          <w:rtl/>
        </w:rPr>
        <w:t xml:space="preserve"> می شود.</w:t>
      </w:r>
    </w:p>
    <w:p w:rsidR="00381FF2" w:rsidRDefault="00381FF2" w:rsidP="00381FF2">
      <w:pPr>
        <w:bidi/>
        <w:rPr>
          <w:rtl/>
        </w:rPr>
      </w:pPr>
      <w:r>
        <w:rPr>
          <w:rFonts w:hint="cs"/>
          <w:rtl/>
        </w:rPr>
        <w:t>فالثمرة فی المقامین واحدة و هی بطلان العبادة علی فرض الإقتضاء و عدم بطلانها علی فرض عدمه.</w:t>
      </w:r>
    </w:p>
    <w:p w:rsidR="00381FF2" w:rsidRDefault="00CE462A" w:rsidP="00381FF2">
      <w:pPr>
        <w:bidi/>
        <w:rPr>
          <w:rtl/>
        </w:rPr>
      </w:pPr>
      <w:r>
        <w:rPr>
          <w:rFonts w:hint="cs"/>
          <w:rtl/>
        </w:rPr>
        <w:t>لکن به این ثمره دو اشکال وارد شده است:</w:t>
      </w:r>
    </w:p>
    <w:p w:rsidR="00CE462A" w:rsidRPr="0014528B" w:rsidRDefault="00CE462A" w:rsidP="00CE462A">
      <w:pPr>
        <w:bidi/>
        <w:rPr>
          <w:color w:val="0070C0"/>
          <w:rtl/>
        </w:rPr>
      </w:pPr>
      <w:r w:rsidRPr="0014528B">
        <w:rPr>
          <w:rFonts w:hint="cs"/>
          <w:color w:val="0070C0"/>
          <w:rtl/>
        </w:rPr>
        <w:t>اشکال اول(شیخ بهاء)</w:t>
      </w:r>
    </w:p>
    <w:p w:rsidR="00CE462A" w:rsidRDefault="00CE462A" w:rsidP="0014528B">
      <w:pPr>
        <w:bidi/>
        <w:rPr>
          <w:rtl/>
        </w:rPr>
      </w:pPr>
      <w:r>
        <w:rPr>
          <w:rFonts w:hint="cs"/>
          <w:rtl/>
        </w:rPr>
        <w:t>عبادت در هر دو مقام(موس</w:t>
      </w:r>
      <w:r w:rsidR="0014528B">
        <w:rPr>
          <w:rFonts w:hint="cs"/>
          <w:rtl/>
        </w:rPr>
        <w:t>ّ</w:t>
      </w:r>
      <w:r>
        <w:rPr>
          <w:rFonts w:hint="cs"/>
          <w:rtl/>
        </w:rPr>
        <w:t>ع و مضی</w:t>
      </w:r>
      <w:r w:rsidR="0014528B">
        <w:rPr>
          <w:rFonts w:hint="cs"/>
          <w:rtl/>
        </w:rPr>
        <w:t>ّ</w:t>
      </w:r>
      <w:r>
        <w:rPr>
          <w:rFonts w:hint="cs"/>
          <w:rtl/>
        </w:rPr>
        <w:t>ق یا مضی</w:t>
      </w:r>
      <w:r w:rsidR="0014528B">
        <w:rPr>
          <w:rFonts w:hint="cs"/>
          <w:rtl/>
        </w:rPr>
        <w:t>ّ</w:t>
      </w:r>
      <w:r>
        <w:rPr>
          <w:rFonts w:hint="cs"/>
          <w:rtl/>
        </w:rPr>
        <w:t xml:space="preserve">قین) بنابرهر دو قول(اقتضاء </w:t>
      </w:r>
      <w:r w:rsidR="0014528B">
        <w:rPr>
          <w:rFonts w:hint="cs"/>
          <w:rtl/>
        </w:rPr>
        <w:t>یا</w:t>
      </w:r>
      <w:r>
        <w:rPr>
          <w:rFonts w:hint="cs"/>
          <w:rtl/>
        </w:rPr>
        <w:t xml:space="preserve"> عدم اقتضاء) باطل است زیرا در صورت امر به شیئ، ضد</w:t>
      </w:r>
      <w:r w:rsidR="0014528B">
        <w:rPr>
          <w:rFonts w:hint="cs"/>
          <w:rtl/>
        </w:rPr>
        <w:t>ّ</w:t>
      </w:r>
      <w:r>
        <w:rPr>
          <w:rFonts w:hint="cs"/>
          <w:rtl/>
        </w:rPr>
        <w:t xml:space="preserve"> آن</w:t>
      </w:r>
      <w:r w:rsidR="00BE0962">
        <w:rPr>
          <w:rFonts w:hint="cs"/>
          <w:rtl/>
        </w:rPr>
        <w:t>،</w:t>
      </w:r>
      <w:r>
        <w:rPr>
          <w:rFonts w:hint="cs"/>
          <w:rtl/>
        </w:rPr>
        <w:t xml:space="preserve"> امر ندارد و</w:t>
      </w:r>
      <w:r w:rsidR="00BE0962">
        <w:rPr>
          <w:rFonts w:hint="cs"/>
          <w:rtl/>
        </w:rPr>
        <w:t xml:space="preserve"> عبادت بدون امر باطل است چه منهی</w:t>
      </w:r>
      <w:r>
        <w:rPr>
          <w:rFonts w:hint="cs"/>
          <w:rtl/>
        </w:rPr>
        <w:t xml:space="preserve"> عنه باشد یا نباشد.</w:t>
      </w:r>
      <w:r w:rsidR="00910A20">
        <w:rPr>
          <w:rFonts w:hint="cs"/>
          <w:rtl/>
        </w:rPr>
        <w:t xml:space="preserve"> این اشکال را صاحب کفایه ذکر کرده و جواب داده است.</w:t>
      </w:r>
      <w:r w:rsidR="00910A20">
        <w:rPr>
          <w:rStyle w:val="FootnoteReference"/>
          <w:rtl/>
        </w:rPr>
        <w:footnoteReference w:id="1"/>
      </w:r>
    </w:p>
    <w:p w:rsidR="0014528B" w:rsidRPr="00BF43BD" w:rsidRDefault="0014528B" w:rsidP="00766E71">
      <w:pPr>
        <w:bidi/>
        <w:rPr>
          <w:color w:val="0070C0"/>
          <w:rtl/>
        </w:rPr>
      </w:pPr>
      <w:r w:rsidRPr="00BF43BD">
        <w:rPr>
          <w:rFonts w:hint="cs"/>
          <w:color w:val="0070C0"/>
          <w:rtl/>
        </w:rPr>
        <w:t>اشکال دو</w:t>
      </w:r>
      <w:r w:rsidR="00BF43BD">
        <w:rPr>
          <w:rFonts w:hint="cs"/>
          <w:color w:val="0070C0"/>
          <w:rtl/>
        </w:rPr>
        <w:t>ّ</w:t>
      </w:r>
      <w:r w:rsidRPr="00BF43BD">
        <w:rPr>
          <w:rFonts w:hint="cs"/>
          <w:color w:val="0070C0"/>
          <w:rtl/>
        </w:rPr>
        <w:t>م(محق</w:t>
      </w:r>
      <w:r w:rsidR="00BF43BD">
        <w:rPr>
          <w:rFonts w:hint="cs"/>
          <w:color w:val="0070C0"/>
          <w:rtl/>
        </w:rPr>
        <w:t>ّ</w:t>
      </w:r>
      <w:r w:rsidRPr="00BF43BD">
        <w:rPr>
          <w:rFonts w:hint="cs"/>
          <w:color w:val="0070C0"/>
          <w:rtl/>
        </w:rPr>
        <w:t>ق نائینی)</w:t>
      </w:r>
    </w:p>
    <w:p w:rsidR="00766E71" w:rsidRDefault="00766E71" w:rsidP="00D47C19">
      <w:pPr>
        <w:bidi/>
        <w:rPr>
          <w:rtl/>
        </w:rPr>
      </w:pPr>
      <w:r>
        <w:rPr>
          <w:rFonts w:hint="cs"/>
          <w:rtl/>
        </w:rPr>
        <w:t>عبادت در هر دو مقام بنابر هر دو قول، صحیح است زیرا عبادی</w:t>
      </w:r>
      <w:r w:rsidR="0014528B">
        <w:rPr>
          <w:rFonts w:hint="cs"/>
          <w:rtl/>
        </w:rPr>
        <w:t>ّ</w:t>
      </w:r>
      <w:r>
        <w:rPr>
          <w:rFonts w:hint="cs"/>
          <w:rtl/>
        </w:rPr>
        <w:t>ت عبادت نیاز به قصد امر ندارد بلکه</w:t>
      </w:r>
      <w:r w:rsidR="00D43AC7">
        <w:rPr>
          <w:rFonts w:hint="cs"/>
          <w:rtl/>
        </w:rPr>
        <w:t xml:space="preserve"> عبادی</w:t>
      </w:r>
      <w:r w:rsidR="0014528B">
        <w:rPr>
          <w:rFonts w:hint="cs"/>
          <w:rtl/>
        </w:rPr>
        <w:t>ّ</w:t>
      </w:r>
      <w:r w:rsidR="00D43AC7">
        <w:rPr>
          <w:rFonts w:hint="cs"/>
          <w:rtl/>
        </w:rPr>
        <w:t>ت</w:t>
      </w:r>
      <w:r>
        <w:rPr>
          <w:rFonts w:hint="cs"/>
          <w:rtl/>
        </w:rPr>
        <w:t xml:space="preserve"> بخاطر اضافه و نسبت عبادت به شارع می باشد.</w:t>
      </w:r>
      <w:r w:rsidR="00D43AC7">
        <w:rPr>
          <w:rFonts w:hint="cs"/>
          <w:rtl/>
        </w:rPr>
        <w:t xml:space="preserve"> نماز چون مضاف و منسوب به حضرت حق</w:t>
      </w:r>
      <w:r w:rsidR="0014528B">
        <w:rPr>
          <w:rFonts w:hint="cs"/>
          <w:rtl/>
        </w:rPr>
        <w:t>ّ</w:t>
      </w:r>
      <w:r w:rsidR="00D43AC7">
        <w:rPr>
          <w:rFonts w:hint="cs"/>
          <w:rtl/>
        </w:rPr>
        <w:t xml:space="preserve"> تبارک و تعالی می باشد، </w:t>
      </w:r>
      <w:r w:rsidR="00E26779">
        <w:rPr>
          <w:rFonts w:hint="cs"/>
          <w:rtl/>
        </w:rPr>
        <w:t>باعث می شود این فعل عبادت باشد و نیازی به امر و قصد امر ندارد لذا اگر</w:t>
      </w:r>
      <w:r w:rsidR="0014528B">
        <w:rPr>
          <w:rFonts w:hint="cs"/>
          <w:rtl/>
        </w:rPr>
        <w:t xml:space="preserve"> هم</w:t>
      </w:r>
      <w:r w:rsidR="00E26779">
        <w:rPr>
          <w:rFonts w:hint="cs"/>
          <w:rtl/>
        </w:rPr>
        <w:t xml:space="preserve"> امر نداشته باشد، </w:t>
      </w:r>
      <w:r w:rsidR="00CD0E59">
        <w:rPr>
          <w:rFonts w:hint="cs"/>
          <w:rtl/>
        </w:rPr>
        <w:t>ام</w:t>
      </w:r>
      <w:r w:rsidR="0014528B">
        <w:rPr>
          <w:rFonts w:hint="cs"/>
          <w:rtl/>
        </w:rPr>
        <w:t>ّ</w:t>
      </w:r>
      <w:r w:rsidR="00CD0E59">
        <w:rPr>
          <w:rFonts w:hint="cs"/>
          <w:rtl/>
        </w:rPr>
        <w:t xml:space="preserve">ا بعنوان </w:t>
      </w:r>
      <w:r w:rsidR="001C650A">
        <w:rPr>
          <w:rFonts w:hint="cs"/>
          <w:rtl/>
        </w:rPr>
        <w:t xml:space="preserve">اینکه </w:t>
      </w:r>
      <w:r w:rsidR="00CD0E59">
        <w:rPr>
          <w:rFonts w:hint="cs"/>
          <w:rtl/>
        </w:rPr>
        <w:t>محبوب مولا</w:t>
      </w:r>
      <w:r w:rsidR="001C650A">
        <w:rPr>
          <w:rFonts w:hint="cs"/>
          <w:rtl/>
        </w:rPr>
        <w:t>ست</w:t>
      </w:r>
      <w:r w:rsidR="00CD0E59">
        <w:rPr>
          <w:rFonts w:hint="cs"/>
          <w:rtl/>
        </w:rPr>
        <w:t xml:space="preserve"> انجام دهیم عبادی</w:t>
      </w:r>
      <w:r w:rsidR="0014528B">
        <w:rPr>
          <w:rFonts w:hint="cs"/>
          <w:rtl/>
        </w:rPr>
        <w:t>ّ</w:t>
      </w:r>
      <w:r w:rsidR="00CD0E59">
        <w:rPr>
          <w:rFonts w:hint="cs"/>
          <w:rtl/>
        </w:rPr>
        <w:t>ت آن تحق</w:t>
      </w:r>
      <w:r w:rsidR="0014528B">
        <w:rPr>
          <w:rFonts w:hint="cs"/>
          <w:rtl/>
        </w:rPr>
        <w:t>ّ</w:t>
      </w:r>
      <w:r w:rsidR="00CD0E59">
        <w:rPr>
          <w:rFonts w:hint="cs"/>
          <w:rtl/>
        </w:rPr>
        <w:t>ق پیدا می کند.</w:t>
      </w:r>
      <w:r w:rsidR="001C650A">
        <w:rPr>
          <w:rFonts w:hint="cs"/>
          <w:rtl/>
        </w:rPr>
        <w:t xml:space="preserve"> و در مانحن فیه با ترک ازاله اگر نماز بخوانیم صحیح است.</w:t>
      </w:r>
      <w:r w:rsidR="00DF2066">
        <w:rPr>
          <w:rFonts w:hint="cs"/>
          <w:rtl/>
        </w:rPr>
        <w:t xml:space="preserve"> و در مقام دو</w:t>
      </w:r>
      <w:r w:rsidR="0014528B">
        <w:rPr>
          <w:rFonts w:hint="cs"/>
          <w:rtl/>
        </w:rPr>
        <w:t>ّ</w:t>
      </w:r>
      <w:r w:rsidR="00DF2066">
        <w:rPr>
          <w:rFonts w:hint="cs"/>
          <w:rtl/>
        </w:rPr>
        <w:t>م انجام مهم</w:t>
      </w:r>
      <w:r w:rsidR="0014528B">
        <w:rPr>
          <w:rFonts w:hint="cs"/>
          <w:rtl/>
        </w:rPr>
        <w:t>ّ</w:t>
      </w:r>
      <w:r w:rsidR="00DF2066">
        <w:rPr>
          <w:rFonts w:hint="cs"/>
          <w:rtl/>
        </w:rPr>
        <w:t xml:space="preserve"> با ترک اهم</w:t>
      </w:r>
      <w:r w:rsidR="0014528B">
        <w:rPr>
          <w:rFonts w:hint="cs"/>
          <w:rtl/>
        </w:rPr>
        <w:t>ّ نیز</w:t>
      </w:r>
      <w:r w:rsidR="00DF2066">
        <w:rPr>
          <w:rFonts w:hint="cs"/>
          <w:rtl/>
        </w:rPr>
        <w:t xml:space="preserve"> صحیح است.</w:t>
      </w:r>
      <w:r w:rsidR="00B66B09">
        <w:rPr>
          <w:rFonts w:hint="cs"/>
          <w:rtl/>
        </w:rPr>
        <w:t xml:space="preserve"> زیرا نهی حاصل از اقتضاء</w:t>
      </w:r>
      <w:r w:rsidR="0014528B">
        <w:rPr>
          <w:rFonts w:hint="cs"/>
          <w:rtl/>
        </w:rPr>
        <w:t>،</w:t>
      </w:r>
      <w:r w:rsidR="00B66B09">
        <w:rPr>
          <w:rFonts w:hint="cs"/>
          <w:rtl/>
        </w:rPr>
        <w:t xml:space="preserve"> نهی غیری است که یا بخاطر مقد</w:t>
      </w:r>
      <w:r w:rsidR="0014528B">
        <w:rPr>
          <w:rFonts w:hint="cs"/>
          <w:rtl/>
        </w:rPr>
        <w:t>ّ</w:t>
      </w:r>
      <w:r w:rsidR="00B66B09">
        <w:rPr>
          <w:rFonts w:hint="cs"/>
          <w:rtl/>
        </w:rPr>
        <w:t>می</w:t>
      </w:r>
      <w:r w:rsidR="0014528B">
        <w:rPr>
          <w:rFonts w:hint="cs"/>
          <w:rtl/>
        </w:rPr>
        <w:t>ّ</w:t>
      </w:r>
      <w:r w:rsidR="00B66B09">
        <w:rPr>
          <w:rFonts w:hint="cs"/>
          <w:rtl/>
        </w:rPr>
        <w:t>ت است و یا بخاطر تلازم؛ و قبلا</w:t>
      </w:r>
      <w:r w:rsidR="0014528B">
        <w:rPr>
          <w:rFonts w:hint="cs"/>
          <w:rtl/>
        </w:rPr>
        <w:t>ً</w:t>
      </w:r>
      <w:r w:rsidR="00B66B09">
        <w:rPr>
          <w:rFonts w:hint="cs"/>
          <w:rtl/>
        </w:rPr>
        <w:t xml:space="preserve"> گفتیم که پنج مسلک</w:t>
      </w:r>
      <w:r w:rsidR="0014528B">
        <w:rPr>
          <w:rFonts w:hint="cs"/>
          <w:rtl/>
        </w:rPr>
        <w:t xml:space="preserve"> اقتضاء،</w:t>
      </w:r>
      <w:r w:rsidR="00B66B09">
        <w:rPr>
          <w:rFonts w:hint="cs"/>
          <w:rtl/>
        </w:rPr>
        <w:t xml:space="preserve"> همه به مقد</w:t>
      </w:r>
      <w:r w:rsidR="0014528B">
        <w:rPr>
          <w:rFonts w:hint="cs"/>
          <w:rtl/>
        </w:rPr>
        <w:t>ّ</w:t>
      </w:r>
      <w:r w:rsidR="00B66B09">
        <w:rPr>
          <w:rFonts w:hint="cs"/>
          <w:rtl/>
        </w:rPr>
        <w:t>می</w:t>
      </w:r>
      <w:r w:rsidR="0014528B">
        <w:rPr>
          <w:rFonts w:hint="cs"/>
          <w:rtl/>
        </w:rPr>
        <w:t>ّ</w:t>
      </w:r>
      <w:r w:rsidR="00B66B09">
        <w:rPr>
          <w:rFonts w:hint="cs"/>
          <w:rtl/>
        </w:rPr>
        <w:t>ت رجوع دارد.</w:t>
      </w:r>
      <w:r w:rsidR="00FE0ACB">
        <w:rPr>
          <w:rFonts w:hint="cs"/>
          <w:rtl/>
        </w:rPr>
        <w:t xml:space="preserve"> ترک ضد</w:t>
      </w:r>
      <w:r w:rsidR="0014528B">
        <w:rPr>
          <w:rFonts w:hint="cs"/>
          <w:rtl/>
        </w:rPr>
        <w:t>ّ</w:t>
      </w:r>
      <w:r w:rsidR="00FE0ACB">
        <w:rPr>
          <w:rFonts w:hint="cs"/>
          <w:rtl/>
        </w:rPr>
        <w:t xml:space="preserve"> خاص، مقد</w:t>
      </w:r>
      <w:r w:rsidR="0014528B">
        <w:rPr>
          <w:rFonts w:hint="cs"/>
          <w:rtl/>
        </w:rPr>
        <w:t>ّ</w:t>
      </w:r>
      <w:r w:rsidR="00FE0ACB">
        <w:rPr>
          <w:rFonts w:hint="cs"/>
          <w:rtl/>
        </w:rPr>
        <w:t>مه ی فعل ضد</w:t>
      </w:r>
      <w:r w:rsidR="0014528B">
        <w:rPr>
          <w:rFonts w:hint="cs"/>
          <w:rtl/>
        </w:rPr>
        <w:t>ّ</w:t>
      </w:r>
      <w:r w:rsidR="00FE0ACB">
        <w:rPr>
          <w:rFonts w:hint="cs"/>
          <w:rtl/>
        </w:rPr>
        <w:t xml:space="preserve"> است و اگر مورد نهی باشد، نهی غیری و ارشادی است که </w:t>
      </w:r>
      <w:r w:rsidR="00D47C19">
        <w:rPr>
          <w:rFonts w:hint="cs"/>
          <w:rtl/>
        </w:rPr>
        <w:t>موجب فساد نیست.</w:t>
      </w:r>
      <w:r w:rsidR="0039788E">
        <w:rPr>
          <w:rFonts w:hint="cs"/>
          <w:rtl/>
        </w:rPr>
        <w:t xml:space="preserve"> صلاة بما هی صلاة، مصلحت ذاتی اش باقی است لذا صحیح است.</w:t>
      </w:r>
      <w:r w:rsidR="001E4B9D">
        <w:rPr>
          <w:rStyle w:val="FootnoteReference"/>
          <w:rtl/>
        </w:rPr>
        <w:footnoteReference w:id="2"/>
      </w:r>
    </w:p>
    <w:p w:rsidR="001E4B9D" w:rsidRDefault="001E4B9D" w:rsidP="001E4B9D">
      <w:pPr>
        <w:bidi/>
        <w:rPr>
          <w:rtl/>
        </w:rPr>
      </w:pPr>
      <w:r>
        <w:rPr>
          <w:rFonts w:hint="cs"/>
          <w:rtl/>
        </w:rPr>
        <w:t>بنابراین با این دو بیان</w:t>
      </w:r>
      <w:r w:rsidR="005E7FBF">
        <w:rPr>
          <w:rFonts w:hint="cs"/>
          <w:rtl/>
        </w:rPr>
        <w:t>،</w:t>
      </w:r>
      <w:r>
        <w:rPr>
          <w:rFonts w:hint="cs"/>
          <w:rtl/>
        </w:rPr>
        <w:t xml:space="preserve"> ثمره ی نزاع</w:t>
      </w:r>
      <w:r w:rsidR="005E7FBF">
        <w:rPr>
          <w:rFonts w:hint="cs"/>
          <w:rtl/>
        </w:rPr>
        <w:t>،</w:t>
      </w:r>
      <w:r>
        <w:rPr>
          <w:rFonts w:hint="cs"/>
          <w:rtl/>
        </w:rPr>
        <w:t xml:space="preserve"> منتفی است؛ طبق بیان شیخ بهاء</w:t>
      </w:r>
      <w:r w:rsidR="005E7FBF">
        <w:rPr>
          <w:rFonts w:hint="cs"/>
          <w:rtl/>
        </w:rPr>
        <w:t>،</w:t>
      </w:r>
      <w:r>
        <w:rPr>
          <w:rFonts w:hint="cs"/>
          <w:rtl/>
        </w:rPr>
        <w:t xml:space="preserve"> صلاة برای تارک ازاله</w:t>
      </w:r>
      <w:r w:rsidR="005E7FBF">
        <w:rPr>
          <w:rFonts w:hint="cs"/>
          <w:rtl/>
        </w:rPr>
        <w:t>،</w:t>
      </w:r>
      <w:r>
        <w:rPr>
          <w:rFonts w:hint="cs"/>
          <w:rtl/>
        </w:rPr>
        <w:t xml:space="preserve"> باطل است</w:t>
      </w:r>
      <w:r w:rsidR="005E7FBF">
        <w:rPr>
          <w:rFonts w:hint="cs"/>
          <w:rtl/>
        </w:rPr>
        <w:t xml:space="preserve"> مطلقا</w:t>
      </w:r>
      <w:r>
        <w:rPr>
          <w:rFonts w:hint="cs"/>
          <w:rtl/>
        </w:rPr>
        <w:t xml:space="preserve"> و طبق بیان محق</w:t>
      </w:r>
      <w:r w:rsidR="005E7FBF">
        <w:rPr>
          <w:rFonts w:hint="cs"/>
          <w:rtl/>
        </w:rPr>
        <w:t>ّ</w:t>
      </w:r>
      <w:r>
        <w:rPr>
          <w:rFonts w:hint="cs"/>
          <w:rtl/>
        </w:rPr>
        <w:t>ق نائینی</w:t>
      </w:r>
      <w:r w:rsidR="005E7FBF">
        <w:rPr>
          <w:rFonts w:hint="cs"/>
          <w:rtl/>
        </w:rPr>
        <w:t>،</w:t>
      </w:r>
      <w:r>
        <w:rPr>
          <w:rFonts w:hint="cs"/>
          <w:rtl/>
        </w:rPr>
        <w:t xml:space="preserve"> صلاة صحیح است</w:t>
      </w:r>
      <w:r w:rsidR="005E7FBF">
        <w:rPr>
          <w:rFonts w:hint="cs"/>
          <w:rtl/>
        </w:rPr>
        <w:t xml:space="preserve"> مطلقا</w:t>
      </w:r>
      <w:r>
        <w:rPr>
          <w:rFonts w:hint="cs"/>
          <w:rtl/>
        </w:rPr>
        <w:t xml:space="preserve"> چه قائل به اقتضاء باشیم یا نباشیم.</w:t>
      </w:r>
    </w:p>
    <w:p w:rsidR="005E7FBF" w:rsidRPr="0014528B" w:rsidRDefault="005E7FBF" w:rsidP="005E7FBF">
      <w:pPr>
        <w:bidi/>
        <w:rPr>
          <w:color w:val="FF0000"/>
        </w:rPr>
      </w:pPr>
      <w:r w:rsidRPr="0014528B">
        <w:rPr>
          <w:rFonts w:hint="cs"/>
          <w:color w:val="FF0000"/>
          <w:rtl/>
        </w:rPr>
        <w:t>(پایان)</w:t>
      </w:r>
    </w:p>
    <w:sectPr w:rsidR="005E7FBF" w:rsidRPr="0014528B" w:rsidSect="0083752D">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047" w:rsidRDefault="00AC6047" w:rsidP="00910A20">
      <w:r>
        <w:separator/>
      </w:r>
    </w:p>
  </w:endnote>
  <w:endnote w:type="continuationSeparator" w:id="0">
    <w:p w:rsidR="00AC6047" w:rsidRDefault="00AC6047" w:rsidP="00910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047" w:rsidRDefault="00AC6047" w:rsidP="00910A20">
      <w:r>
        <w:separator/>
      </w:r>
    </w:p>
  </w:footnote>
  <w:footnote w:type="continuationSeparator" w:id="0">
    <w:p w:rsidR="00AC6047" w:rsidRDefault="00AC6047" w:rsidP="00910A20">
      <w:r>
        <w:continuationSeparator/>
      </w:r>
    </w:p>
  </w:footnote>
  <w:footnote w:id="1">
    <w:p w:rsidR="00910A20" w:rsidRPr="001E4B9D" w:rsidRDefault="00910A20" w:rsidP="001E4B9D">
      <w:pPr>
        <w:bidi/>
        <w:spacing w:before="100" w:beforeAutospacing="1" w:after="100" w:afterAutospacing="1"/>
        <w:rPr>
          <w:rFonts w:eastAsia="Times New Roman"/>
          <w:sz w:val="24"/>
          <w:szCs w:val="24"/>
          <w:rtl/>
          <w:lang w:bidi="fa-IR"/>
        </w:rPr>
      </w:pPr>
      <w:r w:rsidRPr="001E4B9D">
        <w:rPr>
          <w:rStyle w:val="FootnoteReference"/>
          <w:sz w:val="24"/>
          <w:szCs w:val="24"/>
        </w:rPr>
        <w:footnoteRef/>
      </w:r>
      <w:r w:rsidRPr="001E4B9D">
        <w:rPr>
          <w:sz w:val="24"/>
          <w:szCs w:val="24"/>
        </w:rPr>
        <w:t xml:space="preserve"> </w:t>
      </w:r>
      <w:r w:rsidRPr="001E4B9D">
        <w:rPr>
          <w:sz w:val="24"/>
          <w:szCs w:val="24"/>
          <w:rtl/>
          <w:lang w:bidi="fa-IR"/>
        </w:rPr>
        <w:t xml:space="preserve">. </w:t>
      </w:r>
      <w:r w:rsidRPr="00910A20">
        <w:rPr>
          <w:rFonts w:eastAsia="Times New Roman"/>
          <w:sz w:val="24"/>
          <w:szCs w:val="24"/>
          <w:rtl/>
          <w:lang w:bidi="fa-IR"/>
        </w:rPr>
        <w:t>الأمر الرابع [ثمرة المسألة]</w:t>
      </w:r>
      <w:r w:rsidRPr="001E4B9D">
        <w:rPr>
          <w:sz w:val="24"/>
          <w:szCs w:val="24"/>
          <w:rtl/>
          <w:lang w:bidi="fa-IR"/>
        </w:rPr>
        <w:t>-</w:t>
      </w:r>
      <w:r w:rsidRPr="00910A20">
        <w:rPr>
          <w:rFonts w:eastAsia="Times New Roman"/>
          <w:sz w:val="24"/>
          <w:szCs w:val="24"/>
          <w:rtl/>
          <w:lang w:bidi="fa-IR"/>
        </w:rPr>
        <w:t>تظهر الثمرة في أن نتيجة المسألة و هي النهي عن الضد بناء على الاقتضاء بضميمة أن النهي في العبادات يقتضي الفساد ينتج فساده إذا كان عبادة.</w:t>
      </w:r>
      <w:r w:rsidRPr="001E4B9D">
        <w:rPr>
          <w:sz w:val="24"/>
          <w:szCs w:val="24"/>
          <w:rtl/>
          <w:lang w:bidi="fa-IR"/>
        </w:rPr>
        <w:t xml:space="preserve"> </w:t>
      </w:r>
      <w:r w:rsidRPr="00910A20">
        <w:rPr>
          <w:rFonts w:eastAsia="Times New Roman"/>
          <w:sz w:val="24"/>
          <w:szCs w:val="24"/>
          <w:rtl/>
          <w:lang w:bidi="fa-IR"/>
        </w:rPr>
        <w:t>(و عن البهائي رحمه الله‏</w:t>
      </w:r>
      <w:r w:rsidRPr="001E4B9D">
        <w:rPr>
          <w:rFonts w:eastAsia="Times New Roman"/>
          <w:sz w:val="24"/>
          <w:szCs w:val="24"/>
          <w:vertAlign w:val="superscript"/>
          <w:rtl/>
          <w:lang w:bidi="fa-IR"/>
        </w:rPr>
        <w:footnoteRef/>
      </w:r>
      <w:r w:rsidRPr="00910A20">
        <w:rPr>
          <w:rFonts w:eastAsia="Times New Roman"/>
          <w:sz w:val="24"/>
          <w:szCs w:val="24"/>
          <w:rtl/>
          <w:lang w:bidi="fa-IR"/>
        </w:rPr>
        <w:t xml:space="preserve"> أنه أنكر الثمرة بدعوى أنه لا يحتاج في استنتاج الفساد إلى النهي عن الضد بل يكفي عدم الأمر به لاحتياج العبادة إلى الأمر).</w:t>
      </w:r>
      <w:r w:rsidRPr="001E4B9D">
        <w:rPr>
          <w:sz w:val="24"/>
          <w:szCs w:val="24"/>
          <w:rtl/>
          <w:lang w:bidi="fa-IR"/>
        </w:rPr>
        <w:t xml:space="preserve"> </w:t>
      </w:r>
      <w:r w:rsidRPr="00910A20">
        <w:rPr>
          <w:rFonts w:eastAsia="Times New Roman"/>
          <w:sz w:val="24"/>
          <w:szCs w:val="24"/>
          <w:rtl/>
          <w:lang w:bidi="fa-IR"/>
        </w:rPr>
        <w:t>و فيه أنه يكفي مجرد الرجحان و المحبوبية للمولى كي يصح أن يتقرب به منه كما لا يخفى و الضد بناء على عدم حرمته يكون كذلك فإن المزاحمة على هذا لا يوجب إلا ارتفاع الأمر المتعلق به فعلا مع بقائه على ما هو عليه من ملاكه من المصلحة كما هو مذهب العدلية أو غيرها أي شي‏ء كان كما هو مذهب الأشاعرة و عدم حدوث ما يوجب مبغوضيته و خروجه عن قابلية التقرب به كما حدث بناء على الاقتضاء</w:t>
      </w:r>
      <w:r w:rsidRPr="001E4B9D">
        <w:rPr>
          <w:sz w:val="24"/>
          <w:szCs w:val="24"/>
          <w:rtl/>
          <w:lang w:bidi="fa-IR"/>
        </w:rPr>
        <w:t>. (</w:t>
      </w:r>
      <w:r w:rsidRPr="00910A20">
        <w:rPr>
          <w:rFonts w:eastAsia="Times New Roman"/>
          <w:sz w:val="24"/>
          <w:szCs w:val="24"/>
          <w:rtl/>
          <w:lang w:bidi="fa-IR"/>
        </w:rPr>
        <w:t>كفاية الأصول ( طبع آل البيت )، ص: 134</w:t>
      </w:r>
      <w:r w:rsidRPr="001E4B9D">
        <w:rPr>
          <w:rFonts w:eastAsia="Times New Roman"/>
          <w:sz w:val="24"/>
          <w:szCs w:val="24"/>
          <w:rtl/>
          <w:lang w:bidi="fa-IR"/>
        </w:rPr>
        <w:t>)</w:t>
      </w:r>
    </w:p>
  </w:footnote>
  <w:footnote w:id="2">
    <w:p w:rsidR="001E4B9D" w:rsidRPr="001E4B9D" w:rsidRDefault="001E4B9D" w:rsidP="001E4B9D">
      <w:pPr>
        <w:bidi/>
        <w:spacing w:before="100" w:beforeAutospacing="1" w:after="100" w:afterAutospacing="1"/>
        <w:rPr>
          <w:rFonts w:eastAsia="Times New Roman"/>
          <w:sz w:val="24"/>
          <w:szCs w:val="24"/>
          <w:rtl/>
          <w:lang w:bidi="fa-IR"/>
        </w:rPr>
      </w:pPr>
      <w:r w:rsidRPr="001E4B9D">
        <w:rPr>
          <w:rStyle w:val="FootnoteReference"/>
          <w:sz w:val="24"/>
          <w:szCs w:val="24"/>
        </w:rPr>
        <w:footnoteRef/>
      </w:r>
      <w:r w:rsidRPr="001E4B9D">
        <w:rPr>
          <w:sz w:val="24"/>
          <w:szCs w:val="24"/>
        </w:rPr>
        <w:t xml:space="preserve"> </w:t>
      </w:r>
      <w:r w:rsidRPr="001E4B9D">
        <w:rPr>
          <w:sz w:val="24"/>
          <w:szCs w:val="24"/>
          <w:rtl/>
          <w:lang w:bidi="fa-IR"/>
        </w:rPr>
        <w:t xml:space="preserve">. </w:t>
      </w:r>
      <w:r w:rsidRPr="001E4B9D">
        <w:rPr>
          <w:rFonts w:eastAsia="Times New Roman"/>
          <w:sz w:val="24"/>
          <w:szCs w:val="24"/>
          <w:rtl/>
          <w:lang w:bidi="fa-IR"/>
        </w:rPr>
        <w:t>و على كلّ حال، فقد ظهر لك: انّه بناء على توقّف صحّة العبادة على الأمر بها يكون الحق مع البهائي من عدم الثّمرة في اقتضاء الأمر بالشّي‏ء للنّهي عن ضده و عدم اقتضائه، إذ لا امر بالضّد على كلّ حال، فالعبادة لا تصح مطلقا، إلّا انّ الشّأن في أصل المبنى، لوضوح انّه لا يتوقّف صحّة العبادة على الأمر بها، بل يكفى في صحة العبادة اشتمالها على الملاك التّام، و ان لم يؤمر بها فعلا لمانع. و من هنا قلنا: يكفى قصد الجهة في العبادة و لا يحتاج إلى قصد امتثال الأمر، خلافا للمحكي عن صاحب الجواهر حيث اعتبر خصوص قصد امتثال الأمر في صحّة العبادة، و يلزمه القول ببطلان الضّد إذا كان عبادة. و لكنّ الإنصاف: انّ الالتزام بذلك‏</w:t>
      </w:r>
      <w:r w:rsidRPr="001E4B9D">
        <w:rPr>
          <w:sz w:val="24"/>
          <w:szCs w:val="24"/>
          <w:rtl/>
          <w:lang w:bidi="fa-IR"/>
        </w:rPr>
        <w:t xml:space="preserve"> </w:t>
      </w:r>
      <w:r w:rsidRPr="001E4B9D">
        <w:rPr>
          <w:rFonts w:eastAsia="Times New Roman"/>
          <w:sz w:val="24"/>
          <w:szCs w:val="24"/>
          <w:rtl/>
          <w:lang w:bidi="fa-IR"/>
        </w:rPr>
        <w:t>بلا موجب، بل يكفى في صحّة العبادة اشتمالها على الملاك التّامّ سواء امر بها فعلا كما إذا لم يتزاحم ما هو أهمّ منها، أو لم يؤمر بها فعلا كما في صورة المزاحمة، فوجود الأمر و عدمه سيّان في ذلك.</w:t>
      </w:r>
      <w:r w:rsidRPr="001E4B9D">
        <w:rPr>
          <w:sz w:val="24"/>
          <w:szCs w:val="24"/>
          <w:rtl/>
          <w:lang w:bidi="fa-IR"/>
        </w:rPr>
        <w:t xml:space="preserve"> </w:t>
      </w:r>
      <w:r w:rsidRPr="001E4B9D">
        <w:rPr>
          <w:rFonts w:eastAsia="Times New Roman"/>
          <w:sz w:val="24"/>
          <w:szCs w:val="24"/>
          <w:rtl/>
          <w:lang w:bidi="fa-IR"/>
        </w:rPr>
        <w:t>و لكن مع ذلك لا تظهر الثّمرة في اقتضاء الأمر بالشّي‏ء للنّهي عن ضدّه، لأنّه هب انّ الضّد يكون منهيّا عنه، و لكن لمّا كان النّهى غيريّا لمكان الملازمة أو المقدّميّة- على الوجهين الّذين بنوا عليهما النّهى عن الضّد- لم يكن ذلك م</w:t>
      </w:r>
      <w:bookmarkStart w:id="0" w:name="_GoBack"/>
      <w:bookmarkEnd w:id="0"/>
      <w:r w:rsidRPr="001E4B9D">
        <w:rPr>
          <w:rFonts w:eastAsia="Times New Roman"/>
          <w:sz w:val="24"/>
          <w:szCs w:val="24"/>
          <w:rtl/>
          <w:lang w:bidi="fa-IR"/>
        </w:rPr>
        <w:t>وجبا لخلل في الملاك، بل الضّدّ يكون باقيا على ما هو عليه من الملاك لو لا المزاحمة، و ليس النّهى في المقام عن ملاك يقتضيه، كما في باب النّهى عن العبادة، و باب الاجتماع الأمر و النّهى بناء على الامتناع و تقديم جانب النّهى، فانّ النّهى في البابين يكون استقلاليّا عن ملاك يقتضيه و لم يبق معه الملاك المصحح للعبادة، لأنّه لا يتعلّق النّهى الاستقلاليّ بالعبادة إلّا لمكان أقوائية ملاك النّهى و المفسدة الّتي أوجبته عن ملاك العبادة و مصلحتها، و معه لا يكون في العبادة ملاك تام يقتضى صحّة العبادة. و هذا بخلاف النّهى الغيري المتعلّق بالعبادة، فانّه لمّا لم يكن عن مفسدة تقتضيه بل كان لمجرّد المزاحمة لواجب آخر أهمّ و الوصلة إليه كانت العبادة على ما هي عليه من الملاك التّامّ المقتضى لصحّتها.</w:t>
      </w:r>
      <w:r w:rsidRPr="001E4B9D">
        <w:rPr>
          <w:sz w:val="24"/>
          <w:szCs w:val="24"/>
          <w:rtl/>
          <w:lang w:bidi="fa-IR"/>
        </w:rPr>
        <w:t xml:space="preserve"> </w:t>
      </w:r>
      <w:r w:rsidRPr="001E4B9D">
        <w:rPr>
          <w:rFonts w:eastAsia="Times New Roman"/>
          <w:sz w:val="24"/>
          <w:szCs w:val="24"/>
          <w:rtl/>
          <w:lang w:bidi="fa-IR"/>
        </w:rPr>
        <w:t>و ممّا ذكرنا ظهر فساد ما تسالموا عليه من فساد العبادة بناء على اقتضاء الأمر بالشّي‏ء للنّهي عن ضدّه، لما عرفت من انّه لا فساد حتى بناء على الاقتضاء لصحّة الضد بالملاك الّذي لا يضرّه النّهى الغيري.</w:t>
      </w:r>
      <w:r w:rsidRPr="001E4B9D">
        <w:rPr>
          <w:sz w:val="24"/>
          <w:szCs w:val="24"/>
          <w:rtl/>
          <w:lang w:bidi="fa-IR"/>
        </w:rPr>
        <w:t xml:space="preserve"> (</w:t>
      </w:r>
      <w:r w:rsidRPr="001E4B9D">
        <w:rPr>
          <w:rFonts w:eastAsia="Times New Roman"/>
          <w:sz w:val="24"/>
          <w:szCs w:val="24"/>
          <w:rtl/>
          <w:lang w:bidi="fa-IR"/>
        </w:rPr>
        <w:t>فوائد الاصول، ج‏1، ص: 315)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60"/>
  <w:drawingGridVerticalSpacing w:val="435"/>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979"/>
    <w:rsid w:val="000B73FD"/>
    <w:rsid w:val="000C36B1"/>
    <w:rsid w:val="000E0A4A"/>
    <w:rsid w:val="000F2979"/>
    <w:rsid w:val="0014528B"/>
    <w:rsid w:val="00147559"/>
    <w:rsid w:val="001842D0"/>
    <w:rsid w:val="001C650A"/>
    <w:rsid w:val="001E31F8"/>
    <w:rsid w:val="001E4B9D"/>
    <w:rsid w:val="00311DCB"/>
    <w:rsid w:val="003308E2"/>
    <w:rsid w:val="0033116D"/>
    <w:rsid w:val="00355C55"/>
    <w:rsid w:val="00381FF2"/>
    <w:rsid w:val="0039788E"/>
    <w:rsid w:val="003B02F3"/>
    <w:rsid w:val="003C0D29"/>
    <w:rsid w:val="003D3462"/>
    <w:rsid w:val="00464581"/>
    <w:rsid w:val="005E7FBF"/>
    <w:rsid w:val="00623DC1"/>
    <w:rsid w:val="00633772"/>
    <w:rsid w:val="00766E71"/>
    <w:rsid w:val="0083752D"/>
    <w:rsid w:val="00910A20"/>
    <w:rsid w:val="00963823"/>
    <w:rsid w:val="009C4234"/>
    <w:rsid w:val="00AC6047"/>
    <w:rsid w:val="00B03AC5"/>
    <w:rsid w:val="00B14400"/>
    <w:rsid w:val="00B347FE"/>
    <w:rsid w:val="00B62F79"/>
    <w:rsid w:val="00B66B09"/>
    <w:rsid w:val="00BE0962"/>
    <w:rsid w:val="00BF43BD"/>
    <w:rsid w:val="00C12DB9"/>
    <w:rsid w:val="00C700C0"/>
    <w:rsid w:val="00CD0E59"/>
    <w:rsid w:val="00CE462A"/>
    <w:rsid w:val="00D03474"/>
    <w:rsid w:val="00D43AC7"/>
    <w:rsid w:val="00D47C19"/>
    <w:rsid w:val="00DF2066"/>
    <w:rsid w:val="00E26779"/>
    <w:rsid w:val="00E624D0"/>
    <w:rsid w:val="00EF2A1E"/>
    <w:rsid w:val="00F3777C"/>
    <w:rsid w:val="00FA215F"/>
    <w:rsid w:val="00FE0A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979"/>
    <w:pPr>
      <w:spacing w:befor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10A20"/>
    <w:rPr>
      <w:sz w:val="20"/>
      <w:szCs w:val="20"/>
    </w:rPr>
  </w:style>
  <w:style w:type="character" w:customStyle="1" w:styleId="FootnoteTextChar">
    <w:name w:val="Footnote Text Char"/>
    <w:basedOn w:val="DefaultParagraphFont"/>
    <w:link w:val="FootnoteText"/>
    <w:uiPriority w:val="99"/>
    <w:semiHidden/>
    <w:rsid w:val="00910A20"/>
    <w:rPr>
      <w:sz w:val="20"/>
      <w:szCs w:val="20"/>
    </w:rPr>
  </w:style>
  <w:style w:type="character" w:styleId="FootnoteReference">
    <w:name w:val="footnote reference"/>
    <w:basedOn w:val="DefaultParagraphFont"/>
    <w:uiPriority w:val="99"/>
    <w:semiHidden/>
    <w:unhideWhenUsed/>
    <w:rsid w:val="00910A20"/>
    <w:rPr>
      <w:vertAlign w:val="superscript"/>
    </w:rPr>
  </w:style>
  <w:style w:type="paragraph" w:styleId="NormalWeb">
    <w:name w:val="Normal (Web)"/>
    <w:basedOn w:val="Normal"/>
    <w:uiPriority w:val="99"/>
    <w:unhideWhenUsed/>
    <w:rsid w:val="00910A20"/>
    <w:pPr>
      <w:spacing w:before="100" w:beforeAutospacing="1" w:after="100" w:afterAutospacing="1"/>
      <w:jc w:val="left"/>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2F79"/>
    <w:pPr>
      <w:tabs>
        <w:tab w:val="center" w:pos="4680"/>
        <w:tab w:val="right" w:pos="9360"/>
      </w:tabs>
    </w:pPr>
  </w:style>
  <w:style w:type="character" w:customStyle="1" w:styleId="HeaderChar">
    <w:name w:val="Header Char"/>
    <w:basedOn w:val="DefaultParagraphFont"/>
    <w:link w:val="Header"/>
    <w:uiPriority w:val="99"/>
    <w:rsid w:val="00B62F79"/>
  </w:style>
  <w:style w:type="paragraph" w:styleId="Footer">
    <w:name w:val="footer"/>
    <w:basedOn w:val="Normal"/>
    <w:link w:val="FooterChar"/>
    <w:uiPriority w:val="99"/>
    <w:unhideWhenUsed/>
    <w:rsid w:val="00B62F79"/>
    <w:pPr>
      <w:tabs>
        <w:tab w:val="center" w:pos="4680"/>
        <w:tab w:val="right" w:pos="9360"/>
      </w:tabs>
    </w:pPr>
  </w:style>
  <w:style w:type="character" w:customStyle="1" w:styleId="FooterChar">
    <w:name w:val="Footer Char"/>
    <w:basedOn w:val="DefaultParagraphFont"/>
    <w:link w:val="Footer"/>
    <w:uiPriority w:val="99"/>
    <w:rsid w:val="00B62F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979"/>
    <w:pPr>
      <w:spacing w:befor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10A20"/>
    <w:rPr>
      <w:sz w:val="20"/>
      <w:szCs w:val="20"/>
    </w:rPr>
  </w:style>
  <w:style w:type="character" w:customStyle="1" w:styleId="FootnoteTextChar">
    <w:name w:val="Footnote Text Char"/>
    <w:basedOn w:val="DefaultParagraphFont"/>
    <w:link w:val="FootnoteText"/>
    <w:uiPriority w:val="99"/>
    <w:semiHidden/>
    <w:rsid w:val="00910A20"/>
    <w:rPr>
      <w:sz w:val="20"/>
      <w:szCs w:val="20"/>
    </w:rPr>
  </w:style>
  <w:style w:type="character" w:styleId="FootnoteReference">
    <w:name w:val="footnote reference"/>
    <w:basedOn w:val="DefaultParagraphFont"/>
    <w:uiPriority w:val="99"/>
    <w:semiHidden/>
    <w:unhideWhenUsed/>
    <w:rsid w:val="00910A20"/>
    <w:rPr>
      <w:vertAlign w:val="superscript"/>
    </w:rPr>
  </w:style>
  <w:style w:type="paragraph" w:styleId="NormalWeb">
    <w:name w:val="Normal (Web)"/>
    <w:basedOn w:val="Normal"/>
    <w:uiPriority w:val="99"/>
    <w:unhideWhenUsed/>
    <w:rsid w:val="00910A20"/>
    <w:pPr>
      <w:spacing w:before="100" w:beforeAutospacing="1" w:after="100" w:afterAutospacing="1"/>
      <w:jc w:val="left"/>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2F79"/>
    <w:pPr>
      <w:tabs>
        <w:tab w:val="center" w:pos="4680"/>
        <w:tab w:val="right" w:pos="9360"/>
      </w:tabs>
    </w:pPr>
  </w:style>
  <w:style w:type="character" w:customStyle="1" w:styleId="HeaderChar">
    <w:name w:val="Header Char"/>
    <w:basedOn w:val="DefaultParagraphFont"/>
    <w:link w:val="Header"/>
    <w:uiPriority w:val="99"/>
    <w:rsid w:val="00B62F79"/>
  </w:style>
  <w:style w:type="paragraph" w:styleId="Footer">
    <w:name w:val="footer"/>
    <w:basedOn w:val="Normal"/>
    <w:link w:val="FooterChar"/>
    <w:uiPriority w:val="99"/>
    <w:unhideWhenUsed/>
    <w:rsid w:val="00B62F79"/>
    <w:pPr>
      <w:tabs>
        <w:tab w:val="center" w:pos="4680"/>
        <w:tab w:val="right" w:pos="9360"/>
      </w:tabs>
    </w:pPr>
  </w:style>
  <w:style w:type="character" w:customStyle="1" w:styleId="FooterChar">
    <w:name w:val="Footer Char"/>
    <w:basedOn w:val="DefaultParagraphFont"/>
    <w:link w:val="Footer"/>
    <w:uiPriority w:val="99"/>
    <w:rsid w:val="00B62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119502">
      <w:bodyDiv w:val="1"/>
      <w:marLeft w:val="0"/>
      <w:marRight w:val="0"/>
      <w:marTop w:val="0"/>
      <w:marBottom w:val="0"/>
      <w:divBdr>
        <w:top w:val="none" w:sz="0" w:space="0" w:color="auto"/>
        <w:left w:val="none" w:sz="0" w:space="0" w:color="auto"/>
        <w:bottom w:val="none" w:sz="0" w:space="0" w:color="auto"/>
        <w:right w:val="none" w:sz="0" w:space="0" w:color="auto"/>
      </w:divBdr>
    </w:div>
    <w:div w:id="139362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dc:creator>
  <cp:lastModifiedBy>hosein</cp:lastModifiedBy>
  <cp:revision>27</cp:revision>
  <dcterms:created xsi:type="dcterms:W3CDTF">2020-03-02T02:51:00Z</dcterms:created>
  <dcterms:modified xsi:type="dcterms:W3CDTF">2020-03-02T04:57:00Z</dcterms:modified>
</cp:coreProperties>
</file>